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10834262"/>
      <w:bookmarkStart w:id="1" w:name="block-10834265"/>
      <w:bookmarkEnd w:id="0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‌</w:t>
      </w:r>
      <w:bookmarkStart w:id="2" w:name="ac61422a-29c7-4a5a-957e-10d44a9a8bf8"/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2"/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‌</w:t>
      </w:r>
      <w:bookmarkStart w:id="3" w:name="999bf644-f3de-4153-a38b-a44d917c4aaf"/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3"/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‌</w:t>
      </w:r>
      <w:r>
        <w:rPr>
          <w:rFonts w:eastAsia="Calibri" w:cs="Times New Roman"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 w:ascii="Times New Roman" w:hAnsi="Times New Roman"/>
          <w:b/>
          <w:color w:val="000000"/>
          <w:sz w:val="28"/>
        </w:rPr>
        <w:t>МАОУ "Лицей №38 г.Ульяновска "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pPr w:bottomFromText="0" w:horzAnchor="margin" w:leftFromText="180" w:rightFromText="180" w:tblpX="0" w:tblpY="62" w:topFromText="0" w:vertAnchor="text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Заседание МО учителей физической культуры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Половова Т.Г.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1 от «30»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Гильфанова Е.Ю.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№409 от «30»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 лицея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Полетаев В.В.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409 от «30»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color w:val="000000"/>
          <w:sz w:val="28"/>
        </w:rPr>
        <w:t>(ID 1510834)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учебного предмета «Физическая культура»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обучающихся 5 – 9 классов</w:t>
      </w:r>
      <w:bookmarkStart w:id="4" w:name="a138e01f-71ee-4195-a132-95a500e7f996"/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г.Ульяновск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a612539e-b3c8-455e-88a4-bebacddb4762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4-2025</w:t>
      </w:r>
      <w:bookmarkStart w:id="6" w:name="_GoBack"/>
      <w:bookmarkEnd w:id="6"/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7" w:name="block-10834265"/>
      <w:bookmarkStart w:id="8" w:name="block-10834267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9" w:name="10bad217-7d99-408e-b09f-86f4333d94ae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340 часов: в 5 классе – 68 часов (2 часа в неделю), в 6 классе – 68 часов (2 часа в неделю), в 7 классе – 68 часов (2 часа в неделю), в 8 классе – 68 часа (2 часа в неделю), в 9 классе – 68 часа (2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9"/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color w:val="000000"/>
          <w:sz w:val="28"/>
        </w:rPr>
        <w:t>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0" w:name="block-10834267"/>
      <w:bookmarkStart w:id="11" w:name="block-10834266"/>
      <w:bookmarkEnd w:id="10"/>
      <w:bookmarkEnd w:id="11"/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2" w:name="_Toc137567701"/>
      <w:bookmarkStart w:id="13" w:name="_Toc137567701"/>
      <w:bookmarkEnd w:id="13"/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4" w:name="block-10834266"/>
      <w:bookmarkStart w:id="15" w:name="block-10834263"/>
      <w:bookmarkStart w:id="16" w:name="_Toc137548640"/>
      <w:bookmarkEnd w:id="14"/>
      <w:bookmarkEnd w:id="15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7" w:name="_Toc137548641"/>
      <w:bookmarkStart w:id="18" w:name="_Toc137548641"/>
      <w:bookmarkEnd w:id="18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9" w:name="_Toc137567704"/>
      <w:bookmarkStart w:id="20" w:name="_Toc137567704"/>
      <w:bookmarkEnd w:id="20"/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1" w:name="_Toc134720971"/>
      <w:bookmarkEnd w:id="21"/>
      <w:r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22" w:name="_Toc137567705"/>
      <w:bookmarkStart w:id="23" w:name="_Toc137567705"/>
      <w:bookmarkEnd w:id="23"/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понятие «профессионально-прикладная физическая культура»;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pPr w:bottomFromText="0" w:horzAnchor="page" w:leftFromText="180" w:rightFromText="180" w:tblpX="2351" w:tblpY="-1132" w:topFromText="0" w:vertAnchor="text"/>
        <w:tblW w:w="13719" w:type="dxa"/>
        <w:jc w:val="left"/>
        <w:tblInd w:w="-7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19"/>
        <w:gridCol w:w="4592"/>
        <w:gridCol w:w="1562"/>
        <w:gridCol w:w="1841"/>
        <w:gridCol w:w="1910"/>
        <w:gridCol w:w="2694"/>
      </w:tblGrid>
      <w:tr>
        <w:trPr>
          <w:trHeight w:val="144" w:hRule="atLeast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bookmarkStart w:id="24" w:name="block-10834263"/>
            <w:bookmarkEnd w:id="24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25" w:name="block-10834262"/>
      <w:bookmarkStart w:id="26" w:name="block-10834264"/>
      <w:bookmarkEnd w:id="25"/>
      <w:bookmarkEnd w:id="26"/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833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89"/>
        <w:gridCol w:w="4259"/>
        <w:gridCol w:w="1065"/>
        <w:gridCol w:w="1842"/>
        <w:gridCol w:w="1909"/>
        <w:gridCol w:w="1347"/>
        <w:gridCol w:w="2221"/>
      </w:tblGrid>
      <w:tr>
        <w:trPr>
          <w:trHeight w:val="144" w:hRule="atLeast"/>
        </w:trPr>
        <w:tc>
          <w:tcPr>
            <w:tcW w:w="11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2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25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Коррекция нарушения осанки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Коррекция избыточной массы тела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Способы учёта индивидуальных особенностей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умственного перенапряжения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утомления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Бег на средние дистанции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Техника передвижения на лыжах одновременным бесшажным ходом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Техника передвижения на лыжах одновременным бесшажным ходом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Способы преодоления естественных препятствий на лыжах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Способы преодоления естественных препятствий на лыжах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Торможение боковым скольжением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Торможение боковым скольжением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Переход с одного лыжного хода на другой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Лыжная подготовка в передвижениях на лыжах, при спусках, подъёмах, торможении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защите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нападении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rPr>
          <w:lang w:val="ru-RU"/>
        </w:rPr>
      </w:pPr>
      <w:bookmarkStart w:id="27" w:name="block-10834264"/>
      <w:bookmarkStart w:id="28" w:name="block-10834268"/>
      <w:bookmarkEnd w:id="27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f056fd23-2f41-4129-8da1-d467aa21439d"/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Физическая культура, 6-7 классы/ Матвеев А.П., Акционерное общество «Издательство «Просвещение»</w:t>
      </w:r>
      <w:bookmarkEnd w:id="29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 </w:t>
      </w:r>
      <w:r>
        <w:rPr>
          <w:rFonts w:ascii="Times New Roman" w:hAnsi="Times New Roman"/>
          <w:color w:val="000000"/>
          <w:sz w:val="28"/>
          <w:lang w:val="ru-RU"/>
        </w:rPr>
        <w:t>Физическая культура, 5-9 класс/Матвеев А.П., Акционерное общество «Издательство «Просвещение»;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5-9 класс/ Петрова Т.В., Копылов Ю.А., Полянская Н.В. и другие, Общество с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ограниченной ответственностью «Издательский центр ВЕНТАНА-ГРАФ»; Акционерное общество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«Издательство Просвещение»;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5-9 класс/Гурьев С.В.; под редакцией Виленского М.Я., ООО «Русское словоучебник»;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культура. 5-9 класс/Виленский М.Я., Туревский И.М., Торочкова Т.Ю. и другие; под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редакцией Виленского М.Я., Акционерное общество «Издательство «Просвещение»;</w:t>
      </w:r>
      <w:r>
        <w:rPr>
          <w:sz w:val="28"/>
          <w:lang w:val="ru-RU"/>
        </w:rPr>
        <w:br/>
        <w:br/>
        <w:br/>
        <w:br/>
        <w:br/>
        <w:br/>
      </w:r>
      <w:bookmarkStart w:id="30" w:name="ce666534-2f9f-48e1-9f7c-2e635e3b9ede"/>
      <w:bookmarkEnd w:id="30"/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/>
      </w:r>
      <w:bookmarkStart w:id="31" w:name="9a54c4b8-b2ef-4fc1-87b1-da44b5d58279"/>
      <w:bookmarkEnd w:id="31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bookmarkEnd w:id="28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f86356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472C4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paragraph" w:styleId="Style24">
    <w:name w:val="Footer"/>
    <w:basedOn w:val="Normal"/>
    <w:link w:val="Style14"/>
    <w:uiPriority w:val="99"/>
    <w:unhideWhenUsed/>
    <w:rsid w:val="00f8635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LibreOffice/7.5.2.2$Windows_X86_64 LibreOffice_project/53bb9681a964705cf672590721dbc85eb4d0c3a2</Application>
  <AppVersion>15.0000</AppVersion>
  <Pages>25</Pages>
  <Words>3741</Words>
  <Characters>26303</Characters>
  <CharactersWithSpaces>29765</CharactersWithSpaces>
  <Paragraphs>587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2024-09-11T10:43:00Z</dcterms:created>
  <dc:creator>USER</dc:creator>
  <dc:description/>
  <dc:language>ru-RU</dc:language>
  <cp:lastModifiedBy>Пользователь Windows</cp:lastModifiedBy>
  <dcterms:modified xsi:type="dcterms:W3CDTF">2024-09-11T10:52:00Z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